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49A6F1FD"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2E5E61">
              <w:rPr>
                <w:rFonts w:asciiTheme="minorHAnsi" w:hAnsiTheme="minorHAnsi" w:cstheme="minorHAnsi"/>
                <w:b/>
                <w:caps/>
                <w:color w:val="FFFFFF" w:themeColor="background1"/>
                <w:sz w:val="32"/>
                <w:szCs w:val="32"/>
              </w:rPr>
              <w:t>ORISTANO</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proofErr w:type="spellStart"/>
      <w:r w:rsidRPr="00876830">
        <w:t>Cod.Fisc</w:t>
      </w:r>
      <w:proofErr w:type="spellEnd"/>
      <w:r w:rsidR="007014D4" w:rsidRPr="00876830">
        <w:t>.</w:t>
      </w:r>
      <w:r w:rsidRPr="00876830">
        <w:t xml:space="preserve"> /</w:t>
      </w:r>
      <w:r w:rsidR="001F2156" w:rsidRPr="00876830">
        <w:t xml:space="preserve"> </w:t>
      </w:r>
      <w:proofErr w:type="spellStart"/>
      <w:r w:rsidRPr="00876830">
        <w:t>P.Iva</w:t>
      </w:r>
      <w:proofErr w:type="spellEnd"/>
      <w:r w:rsidRPr="00876830">
        <w:t xml:space="preserve">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 xml:space="preserve">_ </w:t>
      </w:r>
      <w:proofErr w:type="spellStart"/>
      <w:r w:rsidR="00671D9F" w:rsidRPr="00876830">
        <w:rPr>
          <w:bCs/>
          <w:szCs w:val="18"/>
        </w:rPr>
        <w:t>Num</w:t>
      </w:r>
      <w:proofErr w:type="spellEnd"/>
      <w:r w:rsidR="00671D9F" w:rsidRPr="00876830">
        <w:rPr>
          <w:bCs/>
          <w:szCs w:val="18"/>
        </w:rPr>
        <w:t>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2F5EEBCD" w14:textId="77777777" w:rsidR="003505F0" w:rsidRDefault="003505F0" w:rsidP="004D4EDB">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 IDEALISTA.IT e BAKECA.IT (in aggiunta alla pubblicità su astegiudiziarie.it e compatibilmente con la tipologia dei beni pubblicizzabili sui portali)</w:t>
      </w:r>
    </w:p>
    <w:p w14:paraId="6788F25C" w14:textId="77777777" w:rsidR="003505F0" w:rsidRDefault="003505F0" w:rsidP="003505F0">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PLUS</w:t>
      </w:r>
      <w:r w:rsidRPr="00876830">
        <w:rPr>
          <w:b/>
          <w:i/>
          <w:szCs w:val="18"/>
        </w:rPr>
        <w:t xml:space="preserve">” </w:t>
      </w:r>
      <w:r>
        <w:rPr>
          <w:bCs/>
          <w:i/>
          <w:szCs w:val="18"/>
        </w:rPr>
        <w:t>-</w:t>
      </w:r>
      <w:r>
        <w:rPr>
          <w:szCs w:val="18"/>
        </w:rPr>
        <w:t xml:space="preserve"> pubblicazione contemporanea di un annuncio sui portali immobiliari privati: CASA.IT, IDEALISTA.IT, BAKECA.IT e SUBITO.IT (in aggiunta alla pubblicità su astegiudiziarie.it e compatibilmente con la tipologia dei beni pubblicizzabili sui portali)</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proofErr w:type="spellStart"/>
      <w:r w:rsidRPr="00582DD2">
        <w:rPr>
          <w:szCs w:val="18"/>
        </w:rPr>
        <w:t>digital</w:t>
      </w:r>
      <w:proofErr w:type="spellEnd"/>
      <w:r w:rsidRPr="00582DD2">
        <w:rPr>
          <w:szCs w:val="18"/>
        </w:rPr>
        <w:t xml:space="preserve">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w:t>
      </w:r>
      <w:proofErr w:type="spellStart"/>
      <w:r w:rsidRPr="00582DD2">
        <w:rPr>
          <w:szCs w:val="18"/>
        </w:rPr>
        <w:t>A</w:t>
      </w:r>
      <w:r>
        <w:rPr>
          <w:szCs w:val="18"/>
        </w:rPr>
        <w:t>ds</w:t>
      </w:r>
      <w:proofErr w:type="spellEnd"/>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proofErr w:type="spellStart"/>
      <w:r>
        <w:rPr>
          <w:szCs w:val="18"/>
        </w:rPr>
        <w:t>Ads</w:t>
      </w:r>
      <w:proofErr w:type="spellEnd"/>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proofErr w:type="spellStart"/>
      <w:r w:rsidR="00CE7194">
        <w:rPr>
          <w:szCs w:val="18"/>
        </w:rPr>
        <w:t>Ads</w:t>
      </w:r>
      <w:proofErr w:type="spellEnd"/>
      <w:r w:rsidR="00CE7194">
        <w:rPr>
          <w:szCs w:val="18"/>
        </w:rPr>
        <w:t xml:space="preserve">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lastRenderedPageBreak/>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w:t>
      </w:r>
      <w:proofErr w:type="spellStart"/>
      <w:r w:rsidR="00307E47" w:rsidRPr="00876830">
        <w:rPr>
          <w:bCs/>
          <w:szCs w:val="18"/>
        </w:rPr>
        <w:t>pre</w:t>
      </w:r>
      <w:proofErr w:type="spellEnd"/>
      <w:r w:rsidR="00307E47" w:rsidRPr="00876830">
        <w:rPr>
          <w:bCs/>
          <w:szCs w:val="18"/>
        </w:rPr>
        <w:t xml:space="preserv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lastRenderedPageBreak/>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xml:space="preserve">)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w:t>
      </w:r>
      <w:proofErr w:type="spellStart"/>
      <w:r w:rsidR="00227F17" w:rsidRPr="00C6107B">
        <w:rPr>
          <w:bCs/>
          <w:sz w:val="14"/>
          <w:szCs w:val="14"/>
        </w:rPr>
        <w:t>D.Lgs</w:t>
      </w:r>
      <w:proofErr w:type="spellEnd"/>
      <w:r w:rsidR="00227F17" w:rsidRPr="00C6107B">
        <w:rPr>
          <w:bCs/>
          <w:sz w:val="14"/>
          <w:szCs w:val="14"/>
        </w:rPr>
        <w:t xml:space="preserve">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E5E61"/>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5F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16405</Characters>
  <Application>Microsoft Office Word</Application>
  <DocSecurity>0</DocSecurity>
  <Lines>136</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2023-08-29T09:57:00Z</cp:lastPrinted>
  <dcterms:created xsi:type="dcterms:W3CDTF">2023-08-29T07:48:00Z</dcterms:created>
  <dcterms:modified xsi:type="dcterms:W3CDTF">2023-08-29T09:57:00Z</dcterms:modified>
</cp:coreProperties>
</file>